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36"/>
        <w:jc w:val="center"/>
      </w:pPr>
      <w:r>
        <w:rPr>
          <w:rFonts w:ascii="Arial" w:cs="Arial" w:eastAsia="Arial" w:hAnsi="Arial"/>
          <w:b/>
          <w:bCs/>
          <w:color w:val="1A1A1A"/>
          <w:sz w:val="44"/>
          <w:szCs w:val="44"/>
        </w:rPr>
        <w:t xml:space="preserve">Umang Shankar</w:t>
      </w:r>
    </w:p>
    <w:p>
      <w:pPr>
        <w:spacing w:before="0" w:after="44"/>
        <w:jc w:val="center"/>
      </w:pPr>
      <w:r>
        <w:rPr>
          <w:rFonts w:ascii="Arial" w:cs="Arial" w:eastAsia="Arial" w:hAnsi="Arial"/>
          <w:color w:val="1B3A5C"/>
          <w:sz w:val="20"/>
          <w:szCs w:val="20"/>
        </w:rPr>
        <w:t xml:space="preserve">Senior Product Manager  |  UK Market Launch &amp; Scaling  |  AI / ML  |  Automotive &amp; Mobility</w:t>
      </w:r>
    </w:p>
    <w:p>
      <w:pPr>
        <w:spacing w:before="0" w:after="100"/>
        <w:jc w:val="center"/>
      </w:pPr>
      <w:r>
        <w:rPr>
          <w:rFonts w:ascii="Arial" w:cs="Arial" w:eastAsia="Arial" w:hAnsi="Arial"/>
          <w:color w:val="777777"/>
          <w:sz w:val="17"/>
          <w:szCs w:val="17"/>
        </w:rPr>
        <w:t xml:space="preserve">+44 (0) 7470018500  |  mailumangshankar@gmail.com  |  www.umangshankar.com  |  London, UK</w:t>
      </w:r>
    </w:p>
    <w:p>
      <w:pPr>
        <w:spacing w:before="0" w:after="55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19 years across two distinct but connected careers: 8 years in the automotive industry — building markets, running large dealer networks, and driving adoption of new vehicle categories across India — followed by 11 years in product management, shipping AI and ML-powered platforms at scale in the UK.</w:t>
      </w:r>
    </w:p>
    <w:p>
      <w:pPr>
        <w:spacing w:before="0" w:after="55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Most candidates applying to Waymo will bring product experience or mobility experience. I bring both. I know how autonomous and new-category vehicles need to reach customers, how partner and dealer networks operate, and how to launch a complex regulated product in a new market with no existing playbook.</w:t>
      </w:r>
    </w:p>
    <w:p>
      <w:pPr>
        <w:spacing w:before="0" w:after="100"/>
      </w:pPr>
      <w:r>
        <w:rPr>
          <w:rFonts w:ascii="Arial" w:cs="Arial" w:eastAsia="Arial" w:hAnsi="Arial"/>
          <w:b/>
          <w:bCs/>
          <w:color w:val="1A1A1A"/>
          <w:sz w:val="18"/>
          <w:szCs w:val="18"/>
        </w:rPr>
        <w:t xml:space="preserve">Full UK right to work. Based in London. Available to travel to Mountain View as required.</w:t>
      </w:r>
    </w:p>
    <w:p>
      <w:pPr>
        <w:pBdr>
          <w:bottom w:val="single" w:color="1B3A5C" w:sz="8" w:space="2"/>
        </w:pBdr>
        <w:spacing w:before="180" w:after="70"/>
      </w:pPr>
      <w:r>
        <w:rPr>
          <w:rFonts w:ascii="Arial" w:cs="Arial" w:eastAsia="Arial" w:hAnsi="Arial"/>
          <w:b/>
          <w:bCs/>
          <w:caps/>
          <w:color w:val="1B3A5C"/>
          <w:sz w:val="20"/>
          <w:szCs w:val="20"/>
        </w:rPr>
        <w:t xml:space="preserve">Product Experience</w:t>
      </w:r>
    </w:p>
    <w:p>
      <w:pPr>
        <w:tabs>
          <w:tab w:val="right" w:pos="9026"/>
        </w:tabs>
        <w:spacing w:before="160" w:after="16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Accenture UK, London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Feb 2022 – Present</w:t>
      </w:r>
    </w:p>
    <w:p>
      <w:pPr>
        <w:spacing w:before="0" w:after="6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Senior Product Manager &amp; Strategist  |  London Product Practice Lead</w:t>
      </w:r>
    </w:p>
    <w:p>
      <w:pPr>
        <w:pStyle w:val="ListParagraph"/>
        <w:numPr>
          <w:ilvl w:val="0"/>
          <w:numId w:val="2"/>
        </w:numPr>
        <w:spacing w:before="55" w:after="55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Product Architect on one of the UK's most complex government digital transformation programmes — mapped 1,100+ technology assets across 300+ citizen-facing services, validated with 15–20+ Deputy Directors and Directors. The framework now drives operating model design, re-org planning, and governance across the client.</w:t>
      </w:r>
    </w:p>
    <w:p>
      <w:pPr>
        <w:pStyle w:val="ListParagraph"/>
        <w:numPr>
          <w:ilvl w:val="0"/>
          <w:numId w:val="2"/>
        </w:numPr>
        <w:spacing w:before="55" w:after="55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Defined and owned product roadmap and delivery strategy across a high-profile government pension programme — leading a cross-supplier team of 18 through end-to-end discovery, build, and go-live serving millions of UK citizens. Delivery framework adopted into the client's Pension Transformation best practice.</w:t>
      </w:r>
    </w:p>
    <w:p>
      <w:pPr>
        <w:pStyle w:val="ListParagraph"/>
        <w:numPr>
          <w:ilvl w:val="0"/>
          <w:numId w:val="2"/>
        </w:numPr>
        <w:spacing w:before="55" w:after="55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Built and deployed a custom GenAI agent on Microsoft Copilot for a 300+ person UK programme — designed intent routing, conversation architecture, and self-service flows to reduce operational friction. Subsequently advised multiple teams on AI adoption and built a GPT-powered prototype for a major new business bid.</w:t>
      </w:r>
    </w:p>
    <w:p>
      <w:pPr>
        <w:pStyle w:val="ListParagraph"/>
        <w:numPr>
          <w:ilvl w:val="0"/>
          <w:numId w:val="2"/>
        </w:numPr>
        <w:spacing w:before="55" w:after="55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Co-Delivery Lead across two teams of 30+ people sustaining £750K monthly revenue and 34% CCI on a major UK government account — managing stakeholder relationships, delivery risk, and commercial performance across a complex multi-workstream programme.</w:t>
      </w:r>
    </w:p>
    <w:p>
      <w:pPr>
        <w:pStyle w:val="ListParagraph"/>
        <w:numPr>
          <w:ilvl w:val="0"/>
          <w:numId w:val="2"/>
        </w:numPr>
        <w:spacing w:before="55" w:after="55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London Product Practice Lead — mentoring 30 PMs, POs, and BAs. Authored the AI in Product Delivery playbook (v2), shared with national leadership. Leads business development conversations, co-leads a client Product Guild, and runs monthly community events.</w:t>
      </w:r>
    </w:p>
    <w:p>
      <w:pPr>
        <w:tabs>
          <w:tab w:val="right" w:pos="9026"/>
        </w:tabs>
        <w:spacing w:before="160" w:after="16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Incopro Ltd., London  (PE-backed scaleup)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Feb 2019 – Jan 2022</w:t>
      </w:r>
    </w:p>
    <w:p>
      <w:pPr>
        <w:spacing w:before="0" w:after="6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Senior Product Manager — AI, Machine Learning &amp; Data Platforms</w:t>
      </w:r>
    </w:p>
    <w:p>
      <w:pPr>
        <w:pStyle w:val="ListParagraph"/>
        <w:numPr>
          <w:ilvl w:val="0"/>
          <w:numId w:val="2"/>
        </w:numPr>
        <w:spacing w:before="55" w:after="55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Led cross-functional teams of engineers, designers, and data scientists to build AI and ML-powered B2B SaaS products processing data at global scale across four product lines:</w:t>
      </w:r>
    </w:p>
    <w:p>
      <w:pPr>
        <w:pStyle w:val="ListParagraph"/>
        <w:numPr>
          <w:ilvl w:val="0"/>
          <w:numId w:val="3"/>
        </w:numPr>
        <w:spacing w:before="36" w:after="36"/>
      </w:pPr>
      <w:r>
        <w:rPr>
          <w:rFonts w:ascii="Arial" w:cs="Arial" w:eastAsia="Arial" w:hAnsi="Arial"/>
          <w:b/>
          <w:bCs/>
          <w:color w:val="1A1A1A"/>
          <w:sz w:val="17"/>
          <w:szCs w:val="17"/>
        </w:rPr>
        <w:t xml:space="preserve">AI Imaging Technologies</w:t>
      </w:r>
      <w:r>
        <w:rPr>
          <w:rFonts w:ascii="Arial" w:cs="Arial" w:eastAsia="Arial" w:hAnsi="Arial"/>
          <w:color w:val="555555"/>
          <w:sz w:val="17"/>
          <w:szCs w:val="17"/>
        </w:rPr>
        <w:t xml:space="preserve"> — led OCR and Edge Detection suite from concept to commercial launch. Generated 0.5M enforceable detections, secured £2M+ ARR, established first-mover advantage.</w:t>
      </w:r>
    </w:p>
    <w:p>
      <w:pPr>
        <w:pStyle w:val="ListParagraph"/>
        <w:numPr>
          <w:ilvl w:val="0"/>
          <w:numId w:val="3"/>
        </w:numPr>
        <w:spacing w:before="36" w:after="36"/>
      </w:pPr>
      <w:r>
        <w:rPr>
          <w:rFonts w:ascii="Arial" w:cs="Arial" w:eastAsia="Arial" w:hAnsi="Arial"/>
          <w:b/>
          <w:bCs/>
          <w:color w:val="1A1A1A"/>
          <w:sz w:val="17"/>
          <w:szCs w:val="17"/>
        </w:rPr>
        <w:t xml:space="preserve">ML Lab</w:t>
      </w:r>
      <w:r>
        <w:rPr>
          <w:rFonts w:ascii="Arial" w:cs="Arial" w:eastAsia="Arial" w:hAnsi="Arial"/>
          <w:color w:val="555555"/>
          <w:sz w:val="17"/>
          <w:szCs w:val="17"/>
        </w:rPr>
        <w:t xml:space="preserve"> — defined anomaly detection and entity extraction strategy. Improved data relevancy by 40% and user task efficiency by 50%.</w:t>
      </w:r>
    </w:p>
    <w:p>
      <w:pPr>
        <w:pStyle w:val="ListParagraph"/>
        <w:numPr>
          <w:ilvl w:val="0"/>
          <w:numId w:val="3"/>
        </w:numPr>
        <w:spacing w:before="36" w:after="36"/>
      </w:pPr>
      <w:r>
        <w:rPr>
          <w:rFonts w:ascii="Arial" w:cs="Arial" w:eastAsia="Arial" w:hAnsi="Arial"/>
          <w:b/>
          <w:bCs/>
          <w:color w:val="1A1A1A"/>
          <w:sz w:val="17"/>
          <w:szCs w:val="17"/>
        </w:rPr>
        <w:t xml:space="preserve">Core Platform Redesign</w:t>
      </w:r>
      <w:r>
        <w:rPr>
          <w:rFonts w:ascii="Arial" w:cs="Arial" w:eastAsia="Arial" w:hAnsi="Arial"/>
          <w:color w:val="555555"/>
          <w:sz w:val="17"/>
          <w:szCs w:val="17"/>
        </w:rPr>
        <w:t xml:space="preserve"> — full UX overhaul across design, engineering, and research. Increased D30 adoption by 74% and D180 retention by 56%.</w:t>
      </w:r>
    </w:p>
    <w:p>
      <w:pPr>
        <w:pStyle w:val="ListParagraph"/>
        <w:numPr>
          <w:ilvl w:val="0"/>
          <w:numId w:val="3"/>
        </w:numPr>
        <w:spacing w:before="36" w:after="36"/>
      </w:pPr>
      <w:r>
        <w:rPr>
          <w:rFonts w:ascii="Arial" w:cs="Arial" w:eastAsia="Arial" w:hAnsi="Arial"/>
          <w:b/>
          <w:bCs/>
          <w:color w:val="1A1A1A"/>
          <w:sz w:val="17"/>
          <w:szCs w:val="17"/>
        </w:rPr>
        <w:t xml:space="preserve">Cloud Data Warehouse</w:t>
      </w:r>
      <w:r>
        <w:rPr>
          <w:rFonts w:ascii="Arial" w:cs="Arial" w:eastAsia="Arial" w:hAnsi="Arial"/>
          <w:color w:val="555555"/>
          <w:sz w:val="17"/>
          <w:szCs w:val="17"/>
        </w:rPr>
        <w:t xml:space="preserve"> — built unified analytics platform with DevOps and data engineering; doubled super-user efficiency and enabled ML dataset creation at scale.</w:t>
      </w:r>
    </w:p>
    <w:p>
      <w:pPr>
        <w:tabs>
          <w:tab w:val="right" w:pos="9026"/>
        </w:tabs>
        <w:spacing w:before="160" w:after="16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Made By Fire, London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Jun 2017 – Jan 2019</w:t>
      </w:r>
    </w:p>
    <w:p>
      <w:pPr>
        <w:spacing w:before="0" w:after="6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Product Owner — Mobile &amp; Platform Products</w:t>
      </w:r>
    </w:p>
    <w:p>
      <w:pPr>
        <w:pStyle w:val="ListParagraph"/>
        <w:numPr>
          <w:ilvl w:val="0"/>
          <w:numId w:val="2"/>
        </w:numPr>
        <w:spacing w:before="55" w:after="55"/>
      </w:pPr>
      <w:r>
        <w:rPr>
          <w:rFonts w:ascii="Arial" w:cs="Arial" w:eastAsia="Arial" w:hAnsi="Arial"/>
          <w:b/>
          <w:bCs/>
          <w:color w:val="1A1A1A"/>
          <w:sz w:val="18"/>
          <w:szCs w:val="18"/>
        </w:rPr>
        <w:t xml:space="preserve">Mobility Marketplace (acquired)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 — led full 0-to-1 build of a UK ride-hailing and logistics platform across iOS, Android, and Web. Grew to 5,000+ beta users and 15,000+ journeys per month at launch. Platform subsequently acquired by a major e-commerce company.</w:t>
      </w:r>
    </w:p>
    <w:p>
      <w:pPr>
        <w:pStyle w:val="ListParagraph"/>
        <w:numPr>
          <w:ilvl w:val="0"/>
          <w:numId w:val="2"/>
        </w:numPr>
        <w:spacing w:before="55" w:after="55"/>
      </w:pPr>
      <w:r>
        <w:rPr>
          <w:rFonts w:ascii="Arial" w:cs="Arial" w:eastAsia="Arial" w:hAnsi="Arial"/>
          <w:b/>
          <w:bCs/>
          <w:color w:val="1A1A1A"/>
          <w:sz w:val="18"/>
          <w:szCs w:val="18"/>
        </w:rPr>
        <w:t xml:space="preserve">Legacy Motorcycle Brand — UK Market Entry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 — built digital product and GTM strategy for market re-entry. Delivered 100,000+ customer engagements, 10,000 pre-launch bookings, and 4% market share in Q1.</w:t>
      </w:r>
    </w:p>
    <w:p>
      <w:pPr>
        <w:tabs>
          <w:tab w:val="right" w:pos="9026"/>
        </w:tabs>
        <w:spacing w:before="160" w:after="16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Make-My-Ride, Chandigarh, India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Jan 2016 – Sep 2016</w:t>
      </w:r>
    </w:p>
    <w:p>
      <w:pPr>
        <w:spacing w:before="0" w:after="6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Co-Founder, Product Strategy &amp; Business Head</w:t>
      </w:r>
    </w:p>
    <w:p>
      <w:pPr>
        <w:pStyle w:val="ListParagraph"/>
        <w:numPr>
          <w:ilvl w:val="0"/>
          <w:numId w:val="2"/>
        </w:numPr>
        <w:spacing w:before="55" w:after="55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Co-founded North India's first fully digital tours and travel company. Built a team of 25, achieved a 40% European customer base, and closed the first investment round within nine months.</w:t>
      </w:r>
    </w:p>
    <w:p>
      <w:r>
        <w:br w:type="page"/>
      </w:r>
    </w:p>
    <w:p>
      <w:pPr>
        <w:pBdr>
          <w:bottom w:val="single" w:color="1B3A5C" w:sz="8" w:space="2"/>
        </w:pBdr>
        <w:spacing w:before="180" w:after="70"/>
      </w:pPr>
      <w:r>
        <w:rPr>
          <w:rFonts w:ascii="Arial" w:cs="Arial" w:eastAsia="Arial" w:hAnsi="Arial"/>
          <w:b/>
          <w:bCs/>
          <w:caps/>
          <w:color w:val="1B3A5C"/>
          <w:sz w:val="20"/>
          <w:szCs w:val="20"/>
        </w:rPr>
        <w:t xml:space="preserve">Automotive &amp; Mobility Experience</w:t>
      </w:r>
    </w:p>
    <w:p>
      <w:pPr>
        <w:spacing w:before="60" w:after="80"/>
      </w:pPr>
      <w:r>
        <w:rPr>
          <w:rFonts w:ascii="Arial" w:cs="Arial" w:eastAsia="Arial" w:hAnsi="Arial"/>
          <w:i/>
          <w:iCs/>
          <w:color w:val="555555"/>
          <w:sz w:val="17"/>
          <w:szCs w:val="17"/>
        </w:rPr>
        <w:t xml:space="preserve">8 years across three of India's most significant automotive businesses — spanning market intelligence, dealer network operations, new category GTM strategy, and large-scale regional sales leadership. This career provides direct industry context for Waymo's mission: understanding how mobility and transportation products reach end users, how distribution and partner networks function at scale, and what it takes to localise a vehicle category for a market where no playbook yet exists.</w:t>
      </w:r>
    </w:p>
    <w:p>
      <w:pPr>
        <w:tabs>
          <w:tab w:val="right" w:pos="9026"/>
        </w:tabs>
        <w:spacing w:before="160" w:after="16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Maruti Suzuki India Ltd., New Delhi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Sep 2011 – Dec 2015</w:t>
      </w:r>
    </w:p>
    <w:p>
      <w:pPr>
        <w:spacing w:before="0" w:after="6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Regional Manager — Product &amp; Sales Strategy</w:t>
      </w:r>
    </w:p>
    <w:p>
      <w:pPr>
        <w:pStyle w:val="ListParagraph"/>
        <w:numPr>
          <w:ilvl w:val="0"/>
          <w:numId w:val="2"/>
        </w:numPr>
        <w:spacing w:before="55" w:after="55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Led a regional team of 150+ people across 48 dealerships with £150M annual turnover — 50 consecutive months of target achievement across one of India's largest automotive dealer networks.</w:t>
      </w:r>
    </w:p>
    <w:p>
      <w:pPr>
        <w:pStyle w:val="ListParagraph"/>
        <w:numPr>
          <w:ilvl w:val="0"/>
          <w:numId w:val="2"/>
        </w:numPr>
        <w:spacing w:before="55" w:after="55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Owned regional product and sales strategy, translating national product and pricing decisions into local market execution across a highly distributed partner network — managing performance, training, and operational standards across the full dealer base.</w:t>
      </w:r>
    </w:p>
    <w:p>
      <w:pPr>
        <w:pStyle w:val="ListParagraph"/>
        <w:numPr>
          <w:ilvl w:val="0"/>
          <w:numId w:val="2"/>
        </w:numPr>
        <w:spacing w:before="55" w:after="55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Developed market intelligence processes to identify demand patterns and surface them back into national product and GTM planning — an early version of the local market requirements feedback loop that is now central to my product practice.</w:t>
      </w:r>
    </w:p>
    <w:p>
      <w:pPr>
        <w:tabs>
          <w:tab w:val="right" w:pos="9026"/>
        </w:tabs>
        <w:spacing w:before="160" w:after="16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Harley Davidson Motor Company, India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Jun 2010 – Aug 2011</w:t>
      </w:r>
    </w:p>
    <w:p>
      <w:pPr>
        <w:spacing w:before="0" w:after="6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Assistant Manager — Sales &amp; Business Model Strategy</w:t>
      </w:r>
    </w:p>
    <w:p>
      <w:pPr>
        <w:pStyle w:val="ListParagraph"/>
        <w:numPr>
          <w:ilvl w:val="0"/>
          <w:numId w:val="2"/>
        </w:numPr>
        <w:spacing w:before="55" w:after="55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Designed and implemented the entire sales and go-to-market strategy for North India for a vehicle category with no existing rider base — no established customers, no competitor benchmarks, and significant cultural and regulatory headwinds for luxury motorcycles.</w:t>
      </w:r>
    </w:p>
    <w:p>
      <w:pPr>
        <w:pStyle w:val="ListParagraph"/>
        <w:numPr>
          <w:ilvl w:val="0"/>
          <w:numId w:val="2"/>
        </w:numPr>
        <w:spacing w:before="55" w:after="55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Achieved 100% of commercial targets in year one by managing the full product lifecycle from commercialisation through to rider acquisition: identifying early adopters, designing the purchase and ownership experience, and working with the dealer network to deliver it consistently.</w:t>
      </w:r>
    </w:p>
    <w:p>
      <w:pPr>
        <w:pStyle w:val="ListParagraph"/>
        <w:numPr>
          <w:ilvl w:val="0"/>
          <w:numId w:val="2"/>
        </w:numPr>
        <w:spacing w:before="55" w:after="55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This is the closest analogy in my career to what Waymo is doing in the UK — creating demand for a transportation category that most people have never experienced, localising a service for a market where no playbook yet exists.</w:t>
      </w:r>
    </w:p>
    <w:p>
      <w:pPr>
        <w:tabs>
          <w:tab w:val="right" w:pos="9026"/>
        </w:tabs>
        <w:spacing w:before="160" w:after="16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Mahindra &amp; Mahindra Ltd., India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Jul 2007 – Jun 2010</w:t>
      </w:r>
    </w:p>
    <w:p>
      <w:pPr>
        <w:spacing w:before="0" w:after="6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Assistant Manager — Market Intelligence</w:t>
      </w:r>
    </w:p>
    <w:p>
      <w:pPr>
        <w:pStyle w:val="ListParagraph"/>
        <w:numPr>
          <w:ilvl w:val="0"/>
          <w:numId w:val="2"/>
        </w:numPr>
        <w:spacing w:before="55" w:after="55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Built and implemented an automated dealer assessment system using Oracle BI — delivering zero first-year failure rate for newly appointed dealers across a large national network.</w:t>
      </w:r>
    </w:p>
    <w:p>
      <w:pPr>
        <w:pStyle w:val="ListParagraph"/>
        <w:numPr>
          <w:ilvl w:val="0"/>
          <w:numId w:val="2"/>
        </w:numPr>
        <w:spacing w:before="55" w:after="55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Developed and ran a dealer assistance programme to support new dealers through their first year of operations, improving network-wide consistency and reducing early attrition.</w:t>
      </w:r>
    </w:p>
    <w:p>
      <w:pPr>
        <w:pStyle w:val="ListParagraph"/>
        <w:numPr>
          <w:ilvl w:val="0"/>
          <w:numId w:val="2"/>
        </w:numPr>
        <w:spacing w:before="55" w:after="55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This data-driven approach to dealer network performance is directly transferable to Waymo's model of managing local partners and service operations across multiple UK cities.</w:t>
      </w:r>
    </w:p>
    <w:p>
      <w:pPr>
        <w:pBdr>
          <w:bottom w:val="single" w:color="1B3A5C" w:sz="8" w:space="2"/>
        </w:pBdr>
        <w:spacing w:before="180" w:after="70"/>
      </w:pPr>
      <w:r>
        <w:rPr>
          <w:rFonts w:ascii="Arial" w:cs="Arial" w:eastAsia="Arial" w:hAnsi="Arial"/>
          <w:b/>
          <w:bCs/>
          <w:caps/>
          <w:color w:val="1B3A5C"/>
          <w:sz w:val="20"/>
          <w:szCs w:val="20"/>
        </w:rPr>
        <w:t xml:space="preserve">Education</w:t>
      </w:r>
    </w:p>
    <w:p>
      <w:pPr>
        <w:spacing w:before="70" w:after="44"/>
      </w:pPr>
      <w:r>
        <w:rPr>
          <w:rFonts w:ascii="Arial" w:cs="Arial" w:eastAsia="Arial" w:hAnsi="Arial"/>
          <w:b/>
          <w:bCs/>
          <w:color w:val="1A1A1A"/>
          <w:sz w:val="18"/>
          <w:szCs w:val="18"/>
        </w:rPr>
        <w:t xml:space="preserve">MBA, Merit (68%)</w:t>
      </w:r>
      <w:r>
        <w:rPr>
          <w:rFonts w:ascii="Arial" w:cs="Arial" w:eastAsia="Arial" w:hAnsi="Arial"/>
          <w:color w:val="555555"/>
          <w:sz w:val="17"/>
          <w:szCs w:val="17"/>
        </w:rPr>
        <w:t xml:space="preserve">  —  Cass Business School, London  |  Strategy consulting to Swedish Olympic Committee (reported to CEO); digital transformation consulting at Siminn, Reykjavik</w:t>
      </w:r>
    </w:p>
    <w:p>
      <w:pPr>
        <w:spacing w:before="0" w:after="80"/>
      </w:pPr>
      <w:r>
        <w:rPr>
          <w:rFonts w:ascii="Arial" w:cs="Arial" w:eastAsia="Arial" w:hAnsi="Arial"/>
          <w:b/>
          <w:bCs/>
          <w:color w:val="1A1A1A"/>
          <w:sz w:val="18"/>
          <w:szCs w:val="18"/>
        </w:rPr>
        <w:t xml:space="preserve">B.Tech. Mechanical Engineering (78%)</w:t>
      </w:r>
      <w:r>
        <w:rPr>
          <w:rFonts w:ascii="Arial" w:cs="Arial" w:eastAsia="Arial" w:hAnsi="Arial"/>
          <w:color w:val="555555"/>
          <w:sz w:val="17"/>
          <w:szCs w:val="17"/>
        </w:rPr>
        <w:t xml:space="preserve">  —  Punjab Technical University, India</w:t>
      </w:r>
    </w:p>
    <w:p>
      <w:pPr>
        <w:pBdr>
          <w:bottom w:val="single" w:color="1B3A5C" w:sz="8" w:space="2"/>
        </w:pBdr>
        <w:spacing w:before="180" w:after="70"/>
      </w:pPr>
      <w:r>
        <w:rPr>
          <w:rFonts w:ascii="Arial" w:cs="Arial" w:eastAsia="Arial" w:hAnsi="Arial"/>
          <w:b/>
          <w:bCs/>
          <w:caps/>
          <w:color w:val="1B3A5C"/>
          <w:sz w:val="20"/>
          <w:szCs w:val="20"/>
        </w:rPr>
        <w:t xml:space="preserve">Additional</w:t>
      </w:r>
    </w:p>
    <w:p>
      <w:pPr>
        <w:spacing w:before="70" w:after="44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Technical: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Python  |  GCP  |  AWS  |  GenAI / LLM systems  |  ML product strategy  |  Oracle BI  |  Jira  |  Agile / Scrum</w:t>
      </w:r>
    </w:p>
    <w:p>
      <w:pPr>
        <w:spacing w:before="0" w:after="44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Executive Education: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Strategy &amp; Entrepreneurship — IIM Bangalore</w:t>
      </w:r>
    </w:p>
    <w:p>
      <w:pPr>
        <w:spacing w:before="0" w:after="44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Languages: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English (fluent)  |  Hindi (native)</w:t>
      </w:r>
    </w:p>
    <w:p>
      <w:pPr>
        <w:spacing w:before="0" w:after="44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Keynote Speaker: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Impact Hub Kings Cross — 'Overcoming Failure and Building Sustainable Business'</w:t>
      </w:r>
    </w:p>
    <w:sectPr>
      <w:pgSz w:w="11906" w:h="16838" w:orient="portrait"/>
      <w:pgMar w:top="820" w:right="940" w:bottom="820" w:left="9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60" w:hanging="23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·"/>
      <w:lvlJc w:val="left"/>
      <w:pPr>
        <w:ind w:left="780" w:hanging="23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2026-03-13T15:31:14.434Z</dcterms:created>
  <dcterms:modified xsi:type="dcterms:W3CDTF">2026-03-13T15:31:14.436Z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